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C1" w:rsidRPr="009378DF" w:rsidRDefault="00EB72C1" w:rsidP="00EB72C1">
      <w:pPr>
        <w:rPr>
          <w:rFonts w:ascii="彩虹粗仿宋" w:eastAsia="彩虹粗仿宋"/>
          <w:b/>
          <w:color w:val="000000"/>
          <w:sz w:val="32"/>
          <w:szCs w:val="32"/>
        </w:rPr>
      </w:pPr>
      <w:r w:rsidRPr="00EE774A">
        <w:rPr>
          <w:rFonts w:ascii="彩虹粗仿宋" w:eastAsia="彩虹粗仿宋" w:hint="eastAsia"/>
          <w:b/>
          <w:color w:val="000000"/>
          <w:sz w:val="32"/>
          <w:szCs w:val="32"/>
        </w:rPr>
        <w:t>附件</w:t>
      </w:r>
      <w:r w:rsidR="00C47675">
        <w:rPr>
          <w:rFonts w:ascii="彩虹粗仿宋" w:eastAsia="彩虹粗仿宋" w:hint="eastAsia"/>
          <w:b/>
          <w:color w:val="000000"/>
          <w:sz w:val="32"/>
          <w:szCs w:val="32"/>
        </w:rPr>
        <w:t>9</w:t>
      </w:r>
    </w:p>
    <w:p w:rsidR="00EB72C1" w:rsidRDefault="00EB72C1" w:rsidP="00EB72C1">
      <w:pPr>
        <w:jc w:val="center"/>
        <w:rPr>
          <w:b/>
          <w:color w:val="000000"/>
          <w:sz w:val="32"/>
          <w:szCs w:val="32"/>
        </w:rPr>
      </w:pPr>
      <w:r w:rsidRPr="009378DF">
        <w:rPr>
          <w:rFonts w:hint="eastAsia"/>
          <w:b/>
          <w:color w:val="000000"/>
          <w:sz w:val="32"/>
          <w:szCs w:val="32"/>
        </w:rPr>
        <w:t>“乾元—</w:t>
      </w:r>
      <w:r w:rsidR="00D77F41">
        <w:rPr>
          <w:rFonts w:hint="eastAsia"/>
          <w:b/>
          <w:color w:val="000000"/>
          <w:sz w:val="32"/>
          <w:szCs w:val="32"/>
        </w:rPr>
        <w:t>乐</w:t>
      </w:r>
      <w:r w:rsidRPr="009378DF">
        <w:rPr>
          <w:rFonts w:hint="eastAsia"/>
          <w:b/>
          <w:color w:val="000000"/>
          <w:sz w:val="32"/>
          <w:szCs w:val="32"/>
        </w:rPr>
        <w:t>溢”</w:t>
      </w:r>
      <w:r>
        <w:rPr>
          <w:rFonts w:hint="eastAsia"/>
          <w:b/>
          <w:color w:val="000000"/>
          <w:sz w:val="32"/>
          <w:szCs w:val="32"/>
        </w:rPr>
        <w:t>9</w:t>
      </w:r>
      <w:r w:rsidRPr="009378DF">
        <w:rPr>
          <w:rFonts w:hint="eastAsia"/>
          <w:b/>
          <w:color w:val="000000"/>
          <w:sz w:val="32"/>
          <w:szCs w:val="32"/>
        </w:rPr>
        <w:t>0</w:t>
      </w:r>
      <w:r w:rsidRPr="009378DF">
        <w:rPr>
          <w:rFonts w:hint="eastAsia"/>
          <w:b/>
          <w:color w:val="000000"/>
          <w:sz w:val="32"/>
          <w:szCs w:val="32"/>
        </w:rPr>
        <w:t>天开放式资产组合型人民币理财产品</w:t>
      </w:r>
    </w:p>
    <w:p w:rsidR="00EB72C1" w:rsidRPr="00EE774A" w:rsidRDefault="00D77F41" w:rsidP="00EB72C1">
      <w:pPr>
        <w:jc w:val="center"/>
        <w:rPr>
          <w:b/>
          <w:color w:val="000000"/>
          <w:sz w:val="32"/>
          <w:szCs w:val="32"/>
        </w:rPr>
      </w:pPr>
      <w:r>
        <w:rPr>
          <w:rFonts w:hint="eastAsia"/>
          <w:b/>
          <w:color w:val="000000"/>
          <w:sz w:val="32"/>
          <w:szCs w:val="32"/>
        </w:rPr>
        <w:t>（个人</w:t>
      </w:r>
      <w:r w:rsidR="00EB72C1" w:rsidRPr="009378DF">
        <w:rPr>
          <w:rFonts w:hint="eastAsia"/>
          <w:b/>
          <w:color w:val="000000"/>
          <w:sz w:val="32"/>
          <w:szCs w:val="32"/>
        </w:rPr>
        <w:t>版）</w:t>
      </w:r>
      <w:r w:rsidR="00EB72C1" w:rsidRPr="00EE774A">
        <w:rPr>
          <w:rFonts w:hint="eastAsia"/>
          <w:b/>
          <w:color w:val="000000"/>
          <w:sz w:val="32"/>
          <w:szCs w:val="32"/>
        </w:rPr>
        <w:t>月度投资管理报告</w:t>
      </w:r>
    </w:p>
    <w:p w:rsidR="00EB72C1" w:rsidRPr="00EE774A" w:rsidRDefault="00EB72C1" w:rsidP="00EB72C1">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F16B8B">
        <w:rPr>
          <w:rFonts w:ascii="宋体" w:hAnsi="宋体" w:hint="eastAsia"/>
          <w:color w:val="000000"/>
          <w:szCs w:val="21"/>
        </w:rPr>
        <w:t>8</w:t>
      </w:r>
      <w:r w:rsidRPr="00EE774A">
        <w:rPr>
          <w:rFonts w:ascii="宋体" w:hAnsi="宋体" w:hint="eastAsia"/>
          <w:color w:val="000000"/>
          <w:szCs w:val="21"/>
        </w:rPr>
        <w:t>年</w:t>
      </w:r>
      <w:r w:rsidR="00653309">
        <w:rPr>
          <w:rFonts w:ascii="宋体" w:hAnsi="宋体" w:hint="eastAsia"/>
          <w:color w:val="000000"/>
          <w:szCs w:val="21"/>
        </w:rPr>
        <w:t>5</w:t>
      </w:r>
      <w:r>
        <w:rPr>
          <w:rFonts w:ascii="宋体" w:hAnsi="宋体" w:hint="eastAsia"/>
          <w:color w:val="000000"/>
          <w:szCs w:val="21"/>
        </w:rPr>
        <w:t>月</w:t>
      </w:r>
      <w:r w:rsidR="00653309">
        <w:rPr>
          <w:rFonts w:ascii="宋体" w:hAnsi="宋体" w:hint="eastAsia"/>
          <w:color w:val="000000"/>
          <w:szCs w:val="21"/>
        </w:rPr>
        <w:t>31</w:t>
      </w:r>
      <w:r>
        <w:rPr>
          <w:rFonts w:ascii="宋体" w:hAnsi="宋体" w:hint="eastAsia"/>
          <w:color w:val="000000"/>
          <w:szCs w:val="21"/>
        </w:rPr>
        <w:t xml:space="preserve">日    </w:t>
      </w:r>
    </w:p>
    <w:p w:rsidR="00EB72C1" w:rsidRPr="000A55B8" w:rsidRDefault="00D77F41" w:rsidP="00653309">
      <w:pPr>
        <w:ind w:firstLine="420"/>
        <w:rPr>
          <w:rFonts w:ascii="宋体" w:hAnsi="宋体"/>
          <w:color w:val="000000"/>
          <w:sz w:val="28"/>
          <w:szCs w:val="28"/>
        </w:rPr>
      </w:pPr>
      <w:r>
        <w:rPr>
          <w:rFonts w:ascii="宋体" w:hAnsi="宋体" w:hint="eastAsia"/>
          <w:color w:val="000000"/>
          <w:sz w:val="28"/>
          <w:szCs w:val="28"/>
        </w:rPr>
        <w:t>“乾元—乐</w:t>
      </w:r>
      <w:r w:rsidR="00EB72C1" w:rsidRPr="000A55B8">
        <w:rPr>
          <w:rFonts w:ascii="宋体" w:hAnsi="宋体" w:hint="eastAsia"/>
          <w:color w:val="000000"/>
          <w:sz w:val="28"/>
          <w:szCs w:val="28"/>
        </w:rPr>
        <w:t>溢”</w:t>
      </w:r>
      <w:r w:rsidR="00EB72C1">
        <w:rPr>
          <w:rFonts w:ascii="宋体" w:hAnsi="宋体" w:hint="eastAsia"/>
          <w:color w:val="000000"/>
          <w:sz w:val="28"/>
          <w:szCs w:val="28"/>
        </w:rPr>
        <w:t>9</w:t>
      </w:r>
      <w:r w:rsidR="00EB72C1" w:rsidRPr="000A55B8">
        <w:rPr>
          <w:rFonts w:ascii="宋体" w:hAnsi="宋体" w:hint="eastAsia"/>
          <w:color w:val="000000"/>
          <w:sz w:val="28"/>
          <w:szCs w:val="28"/>
        </w:rPr>
        <w:t>0天开放式资产组合型人民币理财产品（</w:t>
      </w:r>
      <w:r>
        <w:rPr>
          <w:rFonts w:ascii="宋体" w:hAnsi="宋体" w:hint="eastAsia"/>
          <w:color w:val="000000"/>
          <w:sz w:val="28"/>
          <w:szCs w:val="28"/>
        </w:rPr>
        <w:t>个人</w:t>
      </w:r>
      <w:r w:rsidR="00EB72C1" w:rsidRPr="000A55B8">
        <w:rPr>
          <w:rFonts w:ascii="宋体" w:hAnsi="宋体" w:hint="eastAsia"/>
          <w:color w:val="000000"/>
          <w:sz w:val="28"/>
          <w:szCs w:val="28"/>
        </w:rPr>
        <w:t>版）</w:t>
      </w:r>
      <w:r w:rsidR="00EB72C1" w:rsidRPr="00EE774A">
        <w:rPr>
          <w:rFonts w:ascii="宋体" w:hAnsi="宋体" w:hint="eastAsia"/>
          <w:color w:val="000000"/>
          <w:sz w:val="28"/>
          <w:szCs w:val="28"/>
        </w:rPr>
        <w:t>于201</w:t>
      </w:r>
      <w:r>
        <w:rPr>
          <w:rFonts w:ascii="宋体" w:hAnsi="宋体" w:hint="eastAsia"/>
          <w:color w:val="000000"/>
          <w:sz w:val="28"/>
          <w:szCs w:val="28"/>
        </w:rPr>
        <w:t>8</w:t>
      </w:r>
      <w:r w:rsidR="00EB72C1" w:rsidRPr="00EE774A">
        <w:rPr>
          <w:rFonts w:ascii="宋体" w:hAnsi="宋体" w:hint="eastAsia"/>
          <w:color w:val="000000"/>
          <w:sz w:val="28"/>
          <w:szCs w:val="28"/>
        </w:rPr>
        <w:t>年</w:t>
      </w:r>
      <w:r>
        <w:rPr>
          <w:rFonts w:ascii="宋体" w:hAnsi="宋体" w:hint="eastAsia"/>
          <w:color w:val="000000"/>
          <w:sz w:val="28"/>
          <w:szCs w:val="28"/>
        </w:rPr>
        <w:t>2</w:t>
      </w:r>
      <w:r w:rsidR="00EB72C1" w:rsidRPr="00EE774A">
        <w:rPr>
          <w:rFonts w:ascii="宋体" w:hAnsi="宋体" w:hint="eastAsia"/>
          <w:color w:val="000000"/>
          <w:sz w:val="28"/>
          <w:szCs w:val="28"/>
        </w:rPr>
        <w:t>月</w:t>
      </w:r>
      <w:r>
        <w:rPr>
          <w:rFonts w:ascii="宋体" w:hAnsi="宋体" w:hint="eastAsia"/>
          <w:color w:val="000000"/>
          <w:sz w:val="28"/>
          <w:szCs w:val="28"/>
        </w:rPr>
        <w:t>14</w:t>
      </w:r>
      <w:r w:rsidR="00EB72C1" w:rsidRPr="00EE774A">
        <w:rPr>
          <w:rFonts w:ascii="宋体" w:hAnsi="宋体" w:hint="eastAsia"/>
          <w:color w:val="000000"/>
          <w:sz w:val="28"/>
          <w:szCs w:val="28"/>
        </w:rPr>
        <w:t>日正式成立。截至报告日，本产品规模为</w:t>
      </w:r>
      <w:r w:rsidR="00653309" w:rsidRPr="00653309">
        <w:rPr>
          <w:rFonts w:ascii="宋体" w:hAnsi="宋体" w:hint="eastAsia"/>
          <w:color w:val="000000"/>
          <w:sz w:val="28"/>
          <w:szCs w:val="28"/>
        </w:rPr>
        <w:t>789,523,500.00</w:t>
      </w:r>
      <w:r w:rsidR="00EB72C1" w:rsidRPr="00F92C32">
        <w:rPr>
          <w:rFonts w:ascii="宋体" w:hAnsi="宋体" w:hint="eastAsia"/>
          <w:color w:val="000000"/>
          <w:sz w:val="28"/>
          <w:szCs w:val="28"/>
        </w:rPr>
        <w:t>元。</w:t>
      </w:r>
    </w:p>
    <w:p w:rsidR="00EB72C1" w:rsidRPr="00EE774A" w:rsidRDefault="00EB72C1" w:rsidP="00EB72C1">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322D94" w:rsidRPr="00322D94" w:rsidRDefault="00322D94" w:rsidP="00322D94">
      <w:pPr>
        <w:spacing w:line="560" w:lineRule="exact"/>
        <w:ind w:firstLineChars="200" w:firstLine="560"/>
        <w:rPr>
          <w:rFonts w:ascii="宋体" w:hAnsi="宋体" w:hint="eastAsia"/>
          <w:color w:val="000000"/>
          <w:sz w:val="28"/>
          <w:szCs w:val="28"/>
        </w:rPr>
      </w:pPr>
      <w:r w:rsidRPr="00322D94">
        <w:rPr>
          <w:rFonts w:ascii="宋体" w:hAnsi="宋体" w:hint="eastAsia"/>
          <w:color w:val="000000"/>
          <w:sz w:val="28"/>
          <w:szCs w:val="28"/>
        </w:rPr>
        <w:t>中国建设银行</w:t>
      </w:r>
      <w:r w:rsidRPr="00322D94">
        <w:rPr>
          <w:rFonts w:ascii="宋体" w:hAnsi="宋体" w:hint="eastAsia"/>
          <w:color w:val="000000"/>
          <w:sz w:val="28"/>
          <w:szCs w:val="28"/>
        </w:rPr>
        <w:t>于2018年5月17日（含）起，调整“乾元—乐溢”90天开放式资产组合型人民币理财产品（个人版）客户预期年化收益率，具体如下表：</w:t>
      </w:r>
    </w:p>
    <w:p w:rsidR="00322D94" w:rsidRPr="00322D94" w:rsidRDefault="00322D94" w:rsidP="00322D94">
      <w:pPr>
        <w:spacing w:line="560" w:lineRule="exact"/>
        <w:ind w:firstLineChars="200" w:firstLine="560"/>
        <w:rPr>
          <w:rFonts w:ascii="宋体" w:hAnsi="宋体" w:hint="eastAsia"/>
          <w:color w:val="000000"/>
          <w:sz w:val="28"/>
          <w:szCs w:val="28"/>
        </w:rPr>
      </w:pPr>
    </w:p>
    <w:tbl>
      <w:tblPr>
        <w:tblW w:w="4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2215"/>
        <w:gridCol w:w="2694"/>
      </w:tblGrid>
      <w:tr w:rsidR="00322D94" w:rsidRPr="00322D94" w:rsidTr="00322D94">
        <w:trPr>
          <w:trHeight w:val="20"/>
          <w:tblHeader/>
          <w:jc w:val="center"/>
        </w:trPr>
        <w:tc>
          <w:tcPr>
            <w:tcW w:w="2643" w:type="dxa"/>
            <w:vAlign w:val="center"/>
            <w:hideMark/>
          </w:tcPr>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档期设置</w:t>
            </w:r>
          </w:p>
        </w:tc>
        <w:tc>
          <w:tcPr>
            <w:tcW w:w="2215" w:type="dxa"/>
            <w:vAlign w:val="center"/>
            <w:hideMark/>
          </w:tcPr>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客户预期年化收益率</w:t>
            </w:r>
          </w:p>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（调整前）</w:t>
            </w:r>
          </w:p>
        </w:tc>
        <w:tc>
          <w:tcPr>
            <w:tcW w:w="2694" w:type="dxa"/>
            <w:hideMark/>
          </w:tcPr>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客户预期年化收益率</w:t>
            </w:r>
          </w:p>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（调整后）</w:t>
            </w:r>
          </w:p>
        </w:tc>
      </w:tr>
      <w:tr w:rsidR="00322D94" w:rsidRPr="00322D94" w:rsidTr="00322D94">
        <w:trPr>
          <w:trHeight w:val="20"/>
          <w:jc w:val="center"/>
        </w:trPr>
        <w:tc>
          <w:tcPr>
            <w:tcW w:w="2643" w:type="dxa"/>
            <w:vAlign w:val="center"/>
            <w:hideMark/>
          </w:tcPr>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90天</w:t>
            </w:r>
          </w:p>
        </w:tc>
        <w:tc>
          <w:tcPr>
            <w:tcW w:w="2215" w:type="dxa"/>
            <w:hideMark/>
          </w:tcPr>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5.00%</w:t>
            </w:r>
          </w:p>
        </w:tc>
        <w:tc>
          <w:tcPr>
            <w:tcW w:w="2694" w:type="dxa"/>
            <w:hideMark/>
          </w:tcPr>
          <w:p w:rsidR="00322D94" w:rsidRPr="00322D94" w:rsidRDefault="00322D94" w:rsidP="002B4BC8">
            <w:pPr>
              <w:adjustRightInd w:val="0"/>
              <w:snapToGrid w:val="0"/>
              <w:jc w:val="center"/>
              <w:rPr>
                <w:rFonts w:ascii="宋体" w:hAnsi="宋体"/>
                <w:color w:val="000000"/>
                <w:sz w:val="22"/>
                <w:szCs w:val="28"/>
              </w:rPr>
            </w:pPr>
            <w:r w:rsidRPr="00322D94">
              <w:rPr>
                <w:rFonts w:ascii="宋体" w:hAnsi="宋体" w:hint="eastAsia"/>
                <w:color w:val="000000"/>
                <w:sz w:val="22"/>
                <w:szCs w:val="28"/>
              </w:rPr>
              <w:t>4.75%</w:t>
            </w:r>
          </w:p>
        </w:tc>
      </w:tr>
    </w:tbl>
    <w:p w:rsidR="00322D94" w:rsidRPr="00322D94" w:rsidRDefault="00322D94" w:rsidP="00322D94">
      <w:pPr>
        <w:spacing w:line="560" w:lineRule="exact"/>
        <w:rPr>
          <w:rFonts w:ascii="宋体" w:hAnsi="宋体" w:hint="eastAsia"/>
          <w:color w:val="000000"/>
          <w:sz w:val="28"/>
          <w:szCs w:val="28"/>
        </w:rPr>
      </w:pPr>
    </w:p>
    <w:p w:rsidR="009679B1" w:rsidRDefault="00322D94" w:rsidP="009679B1">
      <w:pPr>
        <w:spacing w:line="560" w:lineRule="exact"/>
        <w:ind w:firstLineChars="200" w:firstLine="560"/>
        <w:rPr>
          <w:rFonts w:ascii="宋体" w:hAnsi="宋体" w:hint="eastAsia"/>
          <w:color w:val="000000"/>
          <w:sz w:val="28"/>
          <w:szCs w:val="28"/>
        </w:rPr>
      </w:pPr>
      <w:r w:rsidRPr="00322D94">
        <w:rPr>
          <w:rFonts w:ascii="宋体" w:hAnsi="宋体" w:hint="eastAsia"/>
          <w:color w:val="000000"/>
          <w:sz w:val="28"/>
          <w:szCs w:val="28"/>
        </w:rPr>
        <w:t>新客户预期年化收益率于2018年5月17日（含）起执行。对于2018年5月17日（不含）前已经购买成功且未赎回的存量投资本金，其中封闭期内的份额仍按照购买确认日当日的客户预期年化收益率计算投资收益，非封闭期内的份额从2018年5月17日（含）起按调整后的预期年化收益率计算投资收益。2018年5月17日（含）后购买的部分自动执行调整后的客户预期年化收益率。但前述情形下的最终投资收益均以我行最终支付的实际年化收益率为准。</w:t>
      </w:r>
    </w:p>
    <w:p w:rsidR="00EB72C1" w:rsidRPr="00EE774A" w:rsidRDefault="00EB72C1" w:rsidP="009679B1">
      <w:pPr>
        <w:spacing w:line="560" w:lineRule="exact"/>
        <w:ind w:firstLineChars="200" w:firstLine="560"/>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二、产品投资组合详细情况</w:t>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EB72C1" w:rsidRPr="00EE774A" w:rsidRDefault="00301900" w:rsidP="00EB72C1">
      <w:pPr>
        <w:jc w:val="center"/>
        <w:rPr>
          <w:rFonts w:ascii="宋体" w:hAnsi="宋体"/>
          <w:color w:val="000000"/>
          <w:sz w:val="28"/>
          <w:szCs w:val="28"/>
        </w:rPr>
      </w:pPr>
      <w:r>
        <w:rPr>
          <w:noProof/>
        </w:rPr>
        <w:drawing>
          <wp:inline distT="0" distB="0" distL="0" distR="0" wp14:anchorId="054572D8" wp14:editId="545380BD">
            <wp:extent cx="3228975" cy="155257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72C1" w:rsidRPr="00EE774A" w:rsidRDefault="00EB72C1" w:rsidP="00EB72C1">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EB72C1" w:rsidRPr="00EE774A" w:rsidRDefault="00301900" w:rsidP="00EB72C1">
      <w:pPr>
        <w:jc w:val="center"/>
        <w:rPr>
          <w:rFonts w:ascii="宋体" w:hAnsi="宋体"/>
          <w:color w:val="000000"/>
          <w:sz w:val="28"/>
          <w:szCs w:val="28"/>
        </w:rPr>
      </w:pPr>
      <w:r>
        <w:rPr>
          <w:noProof/>
        </w:rPr>
        <w:drawing>
          <wp:inline distT="0" distB="0" distL="0" distR="0" wp14:anchorId="730B00E2" wp14:editId="082DC44F">
            <wp:extent cx="3495675" cy="2105025"/>
            <wp:effectExtent l="0" t="0" r="95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FF2407">
        <w:rPr>
          <w:rFonts w:ascii="宋体" w:hAnsi="宋体" w:hint="eastAsia"/>
          <w:b/>
          <w:color w:val="000000"/>
          <w:sz w:val="28"/>
          <w:szCs w:val="28"/>
        </w:rPr>
        <w:t>融资类资产的行业占比构成情况</w:t>
      </w:r>
    </w:p>
    <w:p w:rsidR="00EB72C1" w:rsidRPr="005622F6" w:rsidRDefault="00301900" w:rsidP="00EB72C1">
      <w:pPr>
        <w:ind w:right="-58"/>
        <w:jc w:val="center"/>
        <w:rPr>
          <w:rFonts w:ascii="宋体" w:hAnsi="宋体"/>
          <w:color w:val="000000"/>
          <w:sz w:val="28"/>
          <w:szCs w:val="28"/>
        </w:rPr>
      </w:pPr>
      <w:r>
        <w:rPr>
          <w:noProof/>
        </w:rPr>
        <w:drawing>
          <wp:inline distT="0" distB="0" distL="0" distR="0" wp14:anchorId="07B8260F" wp14:editId="3E98CCC4">
            <wp:extent cx="5274310" cy="1568253"/>
            <wp:effectExtent l="0" t="0" r="21590"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72C1" w:rsidRPr="00EE774A" w:rsidRDefault="00EB72C1" w:rsidP="00EB72C1">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EB72C1" w:rsidRPr="00EE774A" w:rsidRDefault="00EB72C1" w:rsidP="00EB72C1">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lastRenderedPageBreak/>
        <w:t>中国建设银行</w:t>
      </w:r>
    </w:p>
    <w:p w:rsidR="009355B9" w:rsidRDefault="00EB72C1" w:rsidP="00EB72C1">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9355B9">
        <w:rPr>
          <w:rFonts w:ascii="宋体" w:hAnsi="宋体" w:hint="eastAsia"/>
          <w:color w:val="000000"/>
          <w:sz w:val="28"/>
          <w:szCs w:val="28"/>
        </w:rPr>
        <w:t>8</w:t>
      </w:r>
      <w:r>
        <w:rPr>
          <w:rFonts w:ascii="宋体" w:hAnsi="宋体" w:hint="eastAsia"/>
          <w:color w:val="000000"/>
          <w:sz w:val="28"/>
          <w:szCs w:val="28"/>
        </w:rPr>
        <w:t>年</w:t>
      </w:r>
      <w:r w:rsidR="004059BB">
        <w:rPr>
          <w:rFonts w:ascii="宋体" w:hAnsi="宋体" w:hint="eastAsia"/>
          <w:color w:val="000000"/>
          <w:sz w:val="28"/>
          <w:szCs w:val="28"/>
        </w:rPr>
        <w:t>6</w:t>
      </w:r>
      <w:r>
        <w:rPr>
          <w:rFonts w:ascii="宋体" w:hAnsi="宋体" w:hint="eastAsia"/>
          <w:color w:val="000000"/>
          <w:sz w:val="28"/>
          <w:szCs w:val="28"/>
        </w:rPr>
        <w:t>月</w:t>
      </w:r>
      <w:r w:rsidR="004059BB">
        <w:rPr>
          <w:rFonts w:ascii="宋体" w:hAnsi="宋体" w:hint="eastAsia"/>
          <w:color w:val="000000"/>
          <w:sz w:val="28"/>
          <w:szCs w:val="28"/>
        </w:rPr>
        <w:t>5</w:t>
      </w:r>
      <w:r>
        <w:rPr>
          <w:rFonts w:ascii="宋体" w:hAnsi="宋体" w:hint="eastAsia"/>
          <w:color w:val="000000"/>
          <w:sz w:val="28"/>
          <w:szCs w:val="28"/>
        </w:rPr>
        <w:t>日</w:t>
      </w:r>
    </w:p>
    <w:p w:rsidR="009355B9" w:rsidRDefault="009355B9">
      <w:pPr>
        <w:widowControl/>
        <w:jc w:val="left"/>
        <w:rPr>
          <w:rFonts w:ascii="宋体" w:hAnsi="宋体"/>
          <w:color w:val="000000"/>
          <w:sz w:val="28"/>
          <w:szCs w:val="28"/>
        </w:rPr>
      </w:pPr>
      <w:bookmarkStart w:id="0" w:name="_GoBack"/>
      <w:bookmarkEnd w:id="0"/>
    </w:p>
    <w:sectPr w:rsidR="00935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372" w:rsidRDefault="008A0372" w:rsidP="00EB72C1">
      <w:r>
        <w:separator/>
      </w:r>
    </w:p>
  </w:endnote>
  <w:endnote w:type="continuationSeparator" w:id="0">
    <w:p w:rsidR="008A0372" w:rsidRDefault="008A0372" w:rsidP="00EB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372" w:rsidRDefault="008A0372" w:rsidP="00EB72C1">
      <w:r>
        <w:separator/>
      </w:r>
    </w:p>
  </w:footnote>
  <w:footnote w:type="continuationSeparator" w:id="0">
    <w:p w:rsidR="008A0372" w:rsidRDefault="008A0372" w:rsidP="00EB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06"/>
    <w:rsid w:val="0006241B"/>
    <w:rsid w:val="00065AA1"/>
    <w:rsid w:val="000B2C54"/>
    <w:rsid w:val="000D2968"/>
    <w:rsid w:val="001010B7"/>
    <w:rsid w:val="00117631"/>
    <w:rsid w:val="00120E19"/>
    <w:rsid w:val="001318CD"/>
    <w:rsid w:val="00153C80"/>
    <w:rsid w:val="00154E49"/>
    <w:rsid w:val="002156EE"/>
    <w:rsid w:val="0026063B"/>
    <w:rsid w:val="002720BA"/>
    <w:rsid w:val="002C17A1"/>
    <w:rsid w:val="002D5B11"/>
    <w:rsid w:val="00301900"/>
    <w:rsid w:val="00322D94"/>
    <w:rsid w:val="00352DAC"/>
    <w:rsid w:val="00363AE3"/>
    <w:rsid w:val="003A425A"/>
    <w:rsid w:val="004059BB"/>
    <w:rsid w:val="004B7C4F"/>
    <w:rsid w:val="004F21E8"/>
    <w:rsid w:val="0050636F"/>
    <w:rsid w:val="005612CE"/>
    <w:rsid w:val="0064560B"/>
    <w:rsid w:val="00653309"/>
    <w:rsid w:val="006702FC"/>
    <w:rsid w:val="00670A8D"/>
    <w:rsid w:val="006C2B34"/>
    <w:rsid w:val="006F2D24"/>
    <w:rsid w:val="006F7468"/>
    <w:rsid w:val="007233F9"/>
    <w:rsid w:val="0083782F"/>
    <w:rsid w:val="00841BEC"/>
    <w:rsid w:val="0089118C"/>
    <w:rsid w:val="008A0372"/>
    <w:rsid w:val="008E6BEC"/>
    <w:rsid w:val="008F5F85"/>
    <w:rsid w:val="00916C06"/>
    <w:rsid w:val="0093399B"/>
    <w:rsid w:val="009355B9"/>
    <w:rsid w:val="009679B1"/>
    <w:rsid w:val="009C2DE7"/>
    <w:rsid w:val="00A66F45"/>
    <w:rsid w:val="00AA1355"/>
    <w:rsid w:val="00AD1128"/>
    <w:rsid w:val="00AE00F3"/>
    <w:rsid w:val="00B50395"/>
    <w:rsid w:val="00B92EBB"/>
    <w:rsid w:val="00BD6318"/>
    <w:rsid w:val="00C2479C"/>
    <w:rsid w:val="00C47675"/>
    <w:rsid w:val="00CB6958"/>
    <w:rsid w:val="00D7473E"/>
    <w:rsid w:val="00D77F41"/>
    <w:rsid w:val="00DC7BA7"/>
    <w:rsid w:val="00E242BD"/>
    <w:rsid w:val="00EB2AEC"/>
    <w:rsid w:val="00EB72C1"/>
    <w:rsid w:val="00F031B3"/>
    <w:rsid w:val="00F16B8B"/>
    <w:rsid w:val="00F607E5"/>
    <w:rsid w:val="00F73655"/>
    <w:rsid w:val="00F92C32"/>
    <w:rsid w:val="00F95DDD"/>
    <w:rsid w:val="00FB2BE7"/>
    <w:rsid w:val="00FD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C1"/>
    <w:rPr>
      <w:sz w:val="18"/>
      <w:szCs w:val="18"/>
    </w:rPr>
  </w:style>
  <w:style w:type="paragraph" w:styleId="a4">
    <w:name w:val="footer"/>
    <w:basedOn w:val="a"/>
    <w:link w:val="Char0"/>
    <w:uiPriority w:val="99"/>
    <w:unhideWhenUsed/>
    <w:rsid w:val="00EB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C1"/>
    <w:rPr>
      <w:sz w:val="18"/>
      <w:szCs w:val="18"/>
    </w:rPr>
  </w:style>
  <w:style w:type="paragraph" w:styleId="a5">
    <w:name w:val="Balloon Text"/>
    <w:basedOn w:val="a"/>
    <w:link w:val="Char1"/>
    <w:uiPriority w:val="99"/>
    <w:semiHidden/>
    <w:unhideWhenUsed/>
    <w:rsid w:val="00EB72C1"/>
    <w:rPr>
      <w:sz w:val="18"/>
      <w:szCs w:val="18"/>
    </w:rPr>
  </w:style>
  <w:style w:type="character" w:customStyle="1" w:styleId="Char1">
    <w:name w:val="批注框文本 Char"/>
    <w:basedOn w:val="a0"/>
    <w:link w:val="a5"/>
    <w:uiPriority w:val="99"/>
    <w:semiHidden/>
    <w:rsid w:val="00EB72C1"/>
    <w:rPr>
      <w:rFonts w:ascii="Calibri" w:eastAsia="宋体" w:hAnsi="Calibri" w:cs="Times New Roman"/>
      <w:sz w:val="18"/>
      <w:szCs w:val="18"/>
    </w:rPr>
  </w:style>
  <w:style w:type="paragraph" w:styleId="a6">
    <w:name w:val="Normal (Web)"/>
    <w:basedOn w:val="a"/>
    <w:uiPriority w:val="99"/>
    <w:unhideWhenUsed/>
    <w:rsid w:val="00F16B8B"/>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16B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C1"/>
    <w:rPr>
      <w:sz w:val="18"/>
      <w:szCs w:val="18"/>
    </w:rPr>
  </w:style>
  <w:style w:type="paragraph" w:styleId="a4">
    <w:name w:val="footer"/>
    <w:basedOn w:val="a"/>
    <w:link w:val="Char0"/>
    <w:uiPriority w:val="99"/>
    <w:unhideWhenUsed/>
    <w:rsid w:val="00EB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C1"/>
    <w:rPr>
      <w:sz w:val="18"/>
      <w:szCs w:val="18"/>
    </w:rPr>
  </w:style>
  <w:style w:type="paragraph" w:styleId="a5">
    <w:name w:val="Balloon Text"/>
    <w:basedOn w:val="a"/>
    <w:link w:val="Char1"/>
    <w:uiPriority w:val="99"/>
    <w:semiHidden/>
    <w:unhideWhenUsed/>
    <w:rsid w:val="00EB72C1"/>
    <w:rPr>
      <w:sz w:val="18"/>
      <w:szCs w:val="18"/>
    </w:rPr>
  </w:style>
  <w:style w:type="character" w:customStyle="1" w:styleId="Char1">
    <w:name w:val="批注框文本 Char"/>
    <w:basedOn w:val="a0"/>
    <w:link w:val="a5"/>
    <w:uiPriority w:val="99"/>
    <w:semiHidden/>
    <w:rsid w:val="00EB72C1"/>
    <w:rPr>
      <w:rFonts w:ascii="Calibri" w:eastAsia="宋体" w:hAnsi="Calibri" w:cs="Times New Roman"/>
      <w:sz w:val="18"/>
      <w:szCs w:val="18"/>
    </w:rPr>
  </w:style>
  <w:style w:type="paragraph" w:styleId="a6">
    <w:name w:val="Normal (Web)"/>
    <w:basedOn w:val="a"/>
    <w:uiPriority w:val="99"/>
    <w:unhideWhenUsed/>
    <w:rsid w:val="00F16B8B"/>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16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225">
      <w:bodyDiv w:val="1"/>
      <w:marLeft w:val="0"/>
      <w:marRight w:val="0"/>
      <w:marTop w:val="0"/>
      <w:marBottom w:val="0"/>
      <w:divBdr>
        <w:top w:val="none" w:sz="0" w:space="0" w:color="auto"/>
        <w:left w:val="none" w:sz="0" w:space="0" w:color="auto"/>
        <w:bottom w:val="none" w:sz="0" w:space="0" w:color="auto"/>
        <w:right w:val="none" w:sz="0" w:space="0" w:color="auto"/>
      </w:divBdr>
    </w:div>
    <w:div w:id="106585596">
      <w:bodyDiv w:val="1"/>
      <w:marLeft w:val="0"/>
      <w:marRight w:val="0"/>
      <w:marTop w:val="0"/>
      <w:marBottom w:val="0"/>
      <w:divBdr>
        <w:top w:val="none" w:sz="0" w:space="0" w:color="auto"/>
        <w:left w:val="none" w:sz="0" w:space="0" w:color="auto"/>
        <w:bottom w:val="none" w:sz="0" w:space="0" w:color="auto"/>
        <w:right w:val="none" w:sz="0" w:space="0" w:color="auto"/>
      </w:divBdr>
    </w:div>
    <w:div w:id="123356287">
      <w:bodyDiv w:val="1"/>
      <w:marLeft w:val="0"/>
      <w:marRight w:val="0"/>
      <w:marTop w:val="0"/>
      <w:marBottom w:val="0"/>
      <w:divBdr>
        <w:top w:val="none" w:sz="0" w:space="0" w:color="auto"/>
        <w:left w:val="none" w:sz="0" w:space="0" w:color="auto"/>
        <w:bottom w:val="none" w:sz="0" w:space="0" w:color="auto"/>
        <w:right w:val="none" w:sz="0" w:space="0" w:color="auto"/>
      </w:divBdr>
    </w:div>
    <w:div w:id="655570283">
      <w:bodyDiv w:val="1"/>
      <w:marLeft w:val="0"/>
      <w:marRight w:val="0"/>
      <w:marTop w:val="0"/>
      <w:marBottom w:val="0"/>
      <w:divBdr>
        <w:top w:val="none" w:sz="0" w:space="0" w:color="auto"/>
        <w:left w:val="none" w:sz="0" w:space="0" w:color="auto"/>
        <w:bottom w:val="none" w:sz="0" w:space="0" w:color="auto"/>
        <w:right w:val="none" w:sz="0" w:space="0" w:color="auto"/>
      </w:divBdr>
    </w:div>
    <w:div w:id="701904891">
      <w:bodyDiv w:val="1"/>
      <w:marLeft w:val="0"/>
      <w:marRight w:val="0"/>
      <w:marTop w:val="0"/>
      <w:marBottom w:val="0"/>
      <w:divBdr>
        <w:top w:val="none" w:sz="0" w:space="0" w:color="auto"/>
        <w:left w:val="none" w:sz="0" w:space="0" w:color="auto"/>
        <w:bottom w:val="none" w:sz="0" w:space="0" w:color="auto"/>
        <w:right w:val="none" w:sz="0" w:space="0" w:color="auto"/>
      </w:divBdr>
    </w:div>
    <w:div w:id="799373244">
      <w:bodyDiv w:val="1"/>
      <w:marLeft w:val="0"/>
      <w:marRight w:val="0"/>
      <w:marTop w:val="0"/>
      <w:marBottom w:val="0"/>
      <w:divBdr>
        <w:top w:val="none" w:sz="0" w:space="0" w:color="auto"/>
        <w:left w:val="none" w:sz="0" w:space="0" w:color="auto"/>
        <w:bottom w:val="none" w:sz="0" w:space="0" w:color="auto"/>
        <w:right w:val="none" w:sz="0" w:space="0" w:color="auto"/>
      </w:divBdr>
    </w:div>
    <w:div w:id="957569359">
      <w:bodyDiv w:val="1"/>
      <w:marLeft w:val="0"/>
      <w:marRight w:val="0"/>
      <w:marTop w:val="0"/>
      <w:marBottom w:val="0"/>
      <w:divBdr>
        <w:top w:val="none" w:sz="0" w:space="0" w:color="auto"/>
        <w:left w:val="none" w:sz="0" w:space="0" w:color="auto"/>
        <w:bottom w:val="none" w:sz="0" w:space="0" w:color="auto"/>
        <w:right w:val="none" w:sz="0" w:space="0" w:color="auto"/>
      </w:divBdr>
    </w:div>
    <w:div w:id="967320305">
      <w:bodyDiv w:val="1"/>
      <w:marLeft w:val="0"/>
      <w:marRight w:val="0"/>
      <w:marTop w:val="0"/>
      <w:marBottom w:val="0"/>
      <w:divBdr>
        <w:top w:val="none" w:sz="0" w:space="0" w:color="auto"/>
        <w:left w:val="none" w:sz="0" w:space="0" w:color="auto"/>
        <w:bottom w:val="none" w:sz="0" w:space="0" w:color="auto"/>
        <w:right w:val="none" w:sz="0" w:space="0" w:color="auto"/>
      </w:divBdr>
    </w:div>
    <w:div w:id="1060136277">
      <w:bodyDiv w:val="1"/>
      <w:marLeft w:val="0"/>
      <w:marRight w:val="0"/>
      <w:marTop w:val="0"/>
      <w:marBottom w:val="0"/>
      <w:divBdr>
        <w:top w:val="none" w:sz="0" w:space="0" w:color="auto"/>
        <w:left w:val="none" w:sz="0" w:space="0" w:color="auto"/>
        <w:bottom w:val="none" w:sz="0" w:space="0" w:color="auto"/>
        <w:right w:val="none" w:sz="0" w:space="0" w:color="auto"/>
      </w:divBdr>
      <w:divsChild>
        <w:div w:id="650909442">
          <w:marLeft w:val="0"/>
          <w:marRight w:val="0"/>
          <w:marTop w:val="600"/>
          <w:marBottom w:val="900"/>
          <w:divBdr>
            <w:top w:val="none" w:sz="0" w:space="0" w:color="auto"/>
            <w:left w:val="none" w:sz="0" w:space="0" w:color="auto"/>
            <w:bottom w:val="none" w:sz="0" w:space="0" w:color="auto"/>
            <w:right w:val="none" w:sz="0" w:space="0" w:color="auto"/>
          </w:divBdr>
          <w:divsChild>
            <w:div w:id="1221285491">
              <w:marLeft w:val="0"/>
              <w:marRight w:val="0"/>
              <w:marTop w:val="0"/>
              <w:marBottom w:val="0"/>
              <w:divBdr>
                <w:top w:val="none" w:sz="0" w:space="0" w:color="auto"/>
                <w:left w:val="none" w:sz="0" w:space="0" w:color="auto"/>
                <w:bottom w:val="none" w:sz="0" w:space="0" w:color="auto"/>
                <w:right w:val="single" w:sz="6" w:space="30" w:color="EEEEEE"/>
              </w:divBdr>
              <w:divsChild>
                <w:div w:id="2974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5180">
      <w:bodyDiv w:val="1"/>
      <w:marLeft w:val="0"/>
      <w:marRight w:val="0"/>
      <w:marTop w:val="0"/>
      <w:marBottom w:val="0"/>
      <w:divBdr>
        <w:top w:val="none" w:sz="0" w:space="0" w:color="auto"/>
        <w:left w:val="none" w:sz="0" w:space="0" w:color="auto"/>
        <w:bottom w:val="none" w:sz="0" w:space="0" w:color="auto"/>
        <w:right w:val="none" w:sz="0" w:space="0" w:color="auto"/>
      </w:divBdr>
    </w:div>
    <w:div w:id="1415513636">
      <w:bodyDiv w:val="1"/>
      <w:marLeft w:val="0"/>
      <w:marRight w:val="0"/>
      <w:marTop w:val="0"/>
      <w:marBottom w:val="0"/>
      <w:divBdr>
        <w:top w:val="none" w:sz="0" w:space="0" w:color="auto"/>
        <w:left w:val="none" w:sz="0" w:space="0" w:color="auto"/>
        <w:bottom w:val="none" w:sz="0" w:space="0" w:color="auto"/>
        <w:right w:val="none" w:sz="0" w:space="0" w:color="auto"/>
      </w:divBdr>
    </w:div>
    <w:div w:id="1691879660">
      <w:bodyDiv w:val="1"/>
      <w:marLeft w:val="0"/>
      <w:marRight w:val="0"/>
      <w:marTop w:val="0"/>
      <w:marBottom w:val="0"/>
      <w:divBdr>
        <w:top w:val="none" w:sz="0" w:space="0" w:color="auto"/>
        <w:left w:val="none" w:sz="0" w:space="0" w:color="auto"/>
        <w:bottom w:val="none" w:sz="0" w:space="0" w:color="auto"/>
        <w:right w:val="none" w:sz="0" w:space="0" w:color="auto"/>
      </w:divBdr>
    </w:div>
    <w:div w:id="1745105265">
      <w:bodyDiv w:val="1"/>
      <w:marLeft w:val="0"/>
      <w:marRight w:val="0"/>
      <w:marTop w:val="0"/>
      <w:marBottom w:val="0"/>
      <w:divBdr>
        <w:top w:val="none" w:sz="0" w:space="0" w:color="auto"/>
        <w:left w:val="none" w:sz="0" w:space="0" w:color="auto"/>
        <w:bottom w:val="none" w:sz="0" w:space="0" w:color="auto"/>
        <w:right w:val="none" w:sz="0" w:space="0" w:color="auto"/>
      </w:divBdr>
    </w:div>
    <w:div w:id="1784379038">
      <w:bodyDiv w:val="1"/>
      <w:marLeft w:val="0"/>
      <w:marRight w:val="0"/>
      <w:marTop w:val="0"/>
      <w:marBottom w:val="0"/>
      <w:divBdr>
        <w:top w:val="none" w:sz="0" w:space="0" w:color="auto"/>
        <w:left w:val="none" w:sz="0" w:space="0" w:color="auto"/>
        <w:bottom w:val="none" w:sz="0" w:space="0" w:color="auto"/>
        <w:right w:val="none" w:sz="0" w:space="0" w:color="auto"/>
      </w:divBdr>
    </w:div>
    <w:div w:id="1858423246">
      <w:bodyDiv w:val="1"/>
      <w:marLeft w:val="0"/>
      <w:marRight w:val="0"/>
      <w:marTop w:val="0"/>
      <w:marBottom w:val="0"/>
      <w:divBdr>
        <w:top w:val="none" w:sz="0" w:space="0" w:color="auto"/>
        <w:left w:val="none" w:sz="0" w:space="0" w:color="auto"/>
        <w:bottom w:val="none" w:sz="0" w:space="0" w:color="auto"/>
        <w:right w:val="none" w:sz="0" w:space="0" w:color="auto"/>
      </w:divBdr>
    </w:div>
    <w:div w:id="1945109185">
      <w:bodyDiv w:val="1"/>
      <w:marLeft w:val="0"/>
      <w:marRight w:val="0"/>
      <w:marTop w:val="0"/>
      <w:marBottom w:val="0"/>
      <w:divBdr>
        <w:top w:val="none" w:sz="0" w:space="0" w:color="auto"/>
        <w:left w:val="none" w:sz="0" w:space="0" w:color="auto"/>
        <w:bottom w:val="none" w:sz="0" w:space="0" w:color="auto"/>
        <w:right w:val="none" w:sz="0" w:space="0" w:color="auto"/>
      </w:divBdr>
    </w:div>
    <w:div w:id="2008315628">
      <w:bodyDiv w:val="1"/>
      <w:marLeft w:val="0"/>
      <w:marRight w:val="0"/>
      <w:marTop w:val="0"/>
      <w:marBottom w:val="0"/>
      <w:divBdr>
        <w:top w:val="none" w:sz="0" w:space="0" w:color="auto"/>
        <w:left w:val="none" w:sz="0" w:space="0" w:color="auto"/>
        <w:bottom w:val="none" w:sz="0" w:space="0" w:color="auto"/>
        <w:right w:val="none" w:sz="0" w:space="0" w:color="auto"/>
      </w:divBdr>
    </w:div>
    <w:div w:id="2042321516">
      <w:bodyDiv w:val="1"/>
      <w:marLeft w:val="0"/>
      <w:marRight w:val="0"/>
      <w:marTop w:val="0"/>
      <w:marBottom w:val="0"/>
      <w:divBdr>
        <w:top w:val="none" w:sz="0" w:space="0" w:color="auto"/>
        <w:left w:val="none" w:sz="0" w:space="0" w:color="auto"/>
        <w:bottom w:val="none" w:sz="0" w:space="0" w:color="auto"/>
        <w:right w:val="none" w:sz="0" w:space="0" w:color="auto"/>
      </w:divBdr>
    </w:div>
    <w:div w:id="2080983191">
      <w:bodyDiv w:val="1"/>
      <w:marLeft w:val="0"/>
      <w:marRight w:val="0"/>
      <w:marTop w:val="0"/>
      <w:marBottom w:val="0"/>
      <w:divBdr>
        <w:top w:val="none" w:sz="0" w:space="0" w:color="auto"/>
        <w:left w:val="none" w:sz="0" w:space="0" w:color="auto"/>
        <w:bottom w:val="none" w:sz="0" w:space="0" w:color="auto"/>
        <w:right w:val="none" w:sz="0" w:space="0" w:color="auto"/>
      </w:divBdr>
    </w:div>
    <w:div w:id="2094812765">
      <w:bodyDiv w:val="1"/>
      <w:marLeft w:val="0"/>
      <w:marRight w:val="0"/>
      <w:marTop w:val="0"/>
      <w:marBottom w:val="0"/>
      <w:divBdr>
        <w:top w:val="none" w:sz="0" w:space="0" w:color="auto"/>
        <w:left w:val="none" w:sz="0" w:space="0" w:color="auto"/>
        <w:bottom w:val="none" w:sz="0" w:space="0" w:color="auto"/>
        <w:right w:val="none" w:sz="0" w:space="0" w:color="auto"/>
      </w:divBdr>
    </w:div>
    <w:div w:id="2097048287">
      <w:bodyDiv w:val="1"/>
      <w:marLeft w:val="0"/>
      <w:marRight w:val="0"/>
      <w:marTop w:val="0"/>
      <w:marBottom w:val="0"/>
      <w:divBdr>
        <w:top w:val="none" w:sz="0" w:space="0" w:color="auto"/>
        <w:left w:val="none" w:sz="0" w:space="0" w:color="auto"/>
        <w:bottom w:val="none" w:sz="0" w:space="0" w:color="auto"/>
        <w:right w:val="none" w:sz="0" w:space="0" w:color="auto"/>
      </w:divBdr>
    </w:div>
    <w:div w:id="21463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80531&#25353;&#21608;&#25259;&#38706;\2018&#24180;5&#26376;31&#26085;&#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1422174182071552E-2"/>
          <c:y val="0"/>
          <c:w val="0.72327472340293741"/>
          <c:h val="0.99654509443988215"/>
        </c:manualLayout>
      </c:layout>
      <c:pie3DChart>
        <c:varyColors val="1"/>
        <c:ser>
          <c:idx val="0"/>
          <c:order val="0"/>
          <c:dPt>
            <c:idx val="0"/>
            <c:bubble3D val="0"/>
          </c:dPt>
          <c:dPt>
            <c:idx val="1"/>
            <c:bubble3D val="0"/>
          </c:dPt>
          <c:dPt>
            <c:idx val="2"/>
            <c:bubble3D val="0"/>
          </c:dPt>
          <c:dLbls>
            <c:showLegendKey val="0"/>
            <c:showVal val="1"/>
            <c:showCatName val="0"/>
            <c:showSerName val="0"/>
            <c:showPercent val="0"/>
            <c:showBubbleSize val="0"/>
            <c:showLeaderLines val="1"/>
          </c:dLbls>
          <c:cat>
            <c:strRef>
              <c:f>'2018年5月'!$A$372:$A$374</c:f>
              <c:strCache>
                <c:ptCount val="3"/>
                <c:pt idx="0">
                  <c:v>现金及债券类</c:v>
                </c:pt>
                <c:pt idx="1">
                  <c:v>融资类</c:v>
                </c:pt>
                <c:pt idx="2">
                  <c:v>其他</c:v>
                </c:pt>
              </c:strCache>
            </c:strRef>
          </c:cat>
          <c:val>
            <c:numRef>
              <c:f>'2018年5月'!$B$372:$B$374</c:f>
              <c:numCache>
                <c:formatCode>0.00%</c:formatCode>
                <c:ptCount val="3"/>
                <c:pt idx="0">
                  <c:v>1.164400802990259E-2</c:v>
                </c:pt>
                <c:pt idx="1">
                  <c:v>0.98197785572867957</c:v>
                </c:pt>
                <c:pt idx="2">
                  <c:v>6.3781362414177681E-3</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9343367477295426"/>
          <c:y val="0.31425921453069899"/>
          <c:w val="0.30263535642115535"/>
          <c:h val="0.33783681947731997"/>
        </c:manualLayout>
      </c:layout>
      <c:overlay val="0"/>
      <c:txPr>
        <a:bodyPr/>
        <a:lstStyle/>
        <a:p>
          <a:pPr>
            <a:defRPr sz="800" baseline="0"/>
          </a:pPr>
          <a:endParaRPr lang="zh-CN"/>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'2018年5月'!$B$380</c:f>
              <c:strCache>
                <c:ptCount val="1"/>
                <c:pt idx="0">
                  <c:v>占比</c:v>
                </c:pt>
              </c:strCache>
            </c:strRef>
          </c:tx>
          <c:dPt>
            <c:idx val="0"/>
            <c:bubble3D val="0"/>
          </c:dPt>
          <c:dPt>
            <c:idx val="1"/>
            <c:bubble3D val="0"/>
          </c:dPt>
          <c:dPt>
            <c:idx val="2"/>
            <c:bubble3D val="0"/>
          </c:dPt>
          <c:dLbls>
            <c:showLegendKey val="0"/>
            <c:showVal val="1"/>
            <c:showCatName val="0"/>
            <c:showSerName val="0"/>
            <c:showPercent val="0"/>
            <c:showBubbleSize val="0"/>
            <c:showLeaderLines val="1"/>
          </c:dLbls>
          <c:cat>
            <c:strRef>
              <c:f>'2018年5月'!$A$381:$A$384</c:f>
              <c:strCache>
                <c:ptCount val="4"/>
                <c:pt idx="0">
                  <c:v>AA</c:v>
                </c:pt>
                <c:pt idx="1">
                  <c:v>AA-</c:v>
                </c:pt>
                <c:pt idx="2">
                  <c:v>AA+</c:v>
                </c:pt>
                <c:pt idx="3">
                  <c:v>AAA</c:v>
                </c:pt>
              </c:strCache>
            </c:strRef>
          </c:cat>
          <c:val>
            <c:numRef>
              <c:f>'2018年5月'!$B$381:$B$384</c:f>
              <c:numCache>
                <c:formatCode>0.00%</c:formatCode>
                <c:ptCount val="4"/>
                <c:pt idx="0">
                  <c:v>0.20303975058456741</c:v>
                </c:pt>
                <c:pt idx="1">
                  <c:v>0.60353338529488176</c:v>
                </c:pt>
                <c:pt idx="2">
                  <c:v>5.1961548454143934E-2</c:v>
                </c:pt>
                <c:pt idx="3">
                  <c:v>0.14146531566640685</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'2018年5月'!$B$388</c:f>
              <c:strCache>
                <c:ptCount val="1"/>
                <c:pt idx="0">
                  <c:v>5月各行业</c:v>
                </c:pt>
              </c:strCache>
            </c:strRef>
          </c:tx>
          <c:invertIfNegative val="0"/>
          <c:cat>
            <c:strRef>
              <c:f>'2018年5月'!$A$389:$A$391</c:f>
              <c:strCache>
                <c:ptCount val="3"/>
                <c:pt idx="0">
                  <c:v>卫生、社会保障和社会福利业</c:v>
                </c:pt>
                <c:pt idx="1">
                  <c:v>租赁和商务服务业</c:v>
                </c:pt>
                <c:pt idx="2">
                  <c:v>电力、热力、燃气及水的生产和供应业</c:v>
                </c:pt>
              </c:strCache>
            </c:strRef>
          </c:cat>
          <c:val>
            <c:numRef>
              <c:f>'2018年5月'!$B$389:$B$391</c:f>
              <c:numCache>
                <c:formatCode>0.00%</c:formatCode>
                <c:ptCount val="3"/>
                <c:pt idx="0">
                  <c:v>5.1961548454143934E-2</c:v>
                </c:pt>
                <c:pt idx="1">
                  <c:v>0.87659132242140814</c:v>
                </c:pt>
                <c:pt idx="2">
                  <c:v>7.1447129124447908E-2</c:v>
                </c:pt>
              </c:numCache>
            </c:numRef>
          </c:val>
        </c:ser>
        <c:ser>
          <c:idx val="1"/>
          <c:order val="1"/>
          <c:tx>
            <c:strRef>
              <c:f>'2018年5月'!$C$388</c:f>
              <c:strCache>
                <c:ptCount val="1"/>
                <c:pt idx="0">
                  <c:v>4月各行业</c:v>
                </c:pt>
              </c:strCache>
            </c:strRef>
          </c:tx>
          <c:invertIfNegative val="0"/>
          <c:cat>
            <c:strRef>
              <c:f>'2018年5月'!$A$389:$A$391</c:f>
              <c:strCache>
                <c:ptCount val="3"/>
                <c:pt idx="0">
                  <c:v>卫生、社会保障和社会福利业</c:v>
                </c:pt>
                <c:pt idx="1">
                  <c:v>租赁和商务服务业</c:v>
                </c:pt>
                <c:pt idx="2">
                  <c:v>电力、热力、燃气及水的生产和供应业</c:v>
                </c:pt>
              </c:strCache>
            </c:strRef>
          </c:cat>
          <c:val>
            <c:numRef>
              <c:f>'2018年5月'!$C$389:$C$391</c:f>
              <c:numCache>
                <c:formatCode>0.00%</c:formatCode>
                <c:ptCount val="3"/>
                <c:pt idx="0">
                  <c:v>0.86393088552915764</c:v>
                </c:pt>
                <c:pt idx="1">
                  <c:v>0.13606911447084233</c:v>
                </c:pt>
                <c:pt idx="2">
                  <c:v>0</c:v>
                </c:pt>
              </c:numCache>
            </c:numRef>
          </c:val>
        </c:ser>
        <c:ser>
          <c:idx val="2"/>
          <c:order val="2"/>
          <c:tx>
            <c:strRef>
              <c:f>'2018年5月'!$D$388</c:f>
              <c:strCache>
                <c:ptCount val="1"/>
                <c:pt idx="0">
                  <c:v>行业变化</c:v>
                </c:pt>
              </c:strCache>
            </c:strRef>
          </c:tx>
          <c:invertIfNegative val="0"/>
          <c:cat>
            <c:strRef>
              <c:f>'2018年5月'!$A$389:$A$391</c:f>
              <c:strCache>
                <c:ptCount val="3"/>
                <c:pt idx="0">
                  <c:v>卫生、社会保障和社会福利业</c:v>
                </c:pt>
                <c:pt idx="1">
                  <c:v>租赁和商务服务业</c:v>
                </c:pt>
                <c:pt idx="2">
                  <c:v>电力、热力、燃气及水的生产和供应业</c:v>
                </c:pt>
              </c:strCache>
            </c:strRef>
          </c:cat>
          <c:val>
            <c:numRef>
              <c:f>'2018年5月'!$D$389:$D$391</c:f>
              <c:numCache>
                <c:formatCode>0.00%</c:formatCode>
                <c:ptCount val="3"/>
                <c:pt idx="0">
                  <c:v>-0.81196933707501373</c:v>
                </c:pt>
                <c:pt idx="1">
                  <c:v>0.74052220795056578</c:v>
                </c:pt>
                <c:pt idx="2">
                  <c:v>7.1447129124447908E-2</c:v>
                </c:pt>
              </c:numCache>
            </c:numRef>
          </c:val>
        </c:ser>
        <c:dLbls>
          <c:showLegendKey val="0"/>
          <c:showVal val="0"/>
          <c:showCatName val="0"/>
          <c:showSerName val="0"/>
          <c:showPercent val="0"/>
          <c:showBubbleSize val="0"/>
        </c:dLbls>
        <c:gapWidth val="150"/>
        <c:axId val="133120384"/>
        <c:axId val="180730880"/>
      </c:barChart>
      <c:catAx>
        <c:axId val="133120384"/>
        <c:scaling>
          <c:orientation val="minMax"/>
        </c:scaling>
        <c:delete val="0"/>
        <c:axPos val="l"/>
        <c:numFmt formatCode="General" sourceLinked="1"/>
        <c:majorTickMark val="out"/>
        <c:minorTickMark val="none"/>
        <c:tickLblPos val="nextTo"/>
        <c:crossAx val="180730880"/>
        <c:crosses val="autoZero"/>
        <c:auto val="1"/>
        <c:lblAlgn val="ctr"/>
        <c:lblOffset val="100"/>
        <c:noMultiLvlLbl val="0"/>
      </c:catAx>
      <c:valAx>
        <c:axId val="180730880"/>
        <c:scaling>
          <c:orientation val="minMax"/>
          <c:max val="0.9"/>
          <c:min val="-0.9"/>
        </c:scaling>
        <c:delete val="0"/>
        <c:axPos val="b"/>
        <c:majorGridlines/>
        <c:numFmt formatCode="0%" sourceLinked="0"/>
        <c:majorTickMark val="out"/>
        <c:minorTickMark val="none"/>
        <c:tickLblPos val="nextTo"/>
        <c:crossAx val="1331203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陈策</cp:lastModifiedBy>
  <cp:revision>3</cp:revision>
  <dcterms:created xsi:type="dcterms:W3CDTF">2018-06-04T08:30:00Z</dcterms:created>
  <dcterms:modified xsi:type="dcterms:W3CDTF">2018-06-04T08:31:00Z</dcterms:modified>
</cp:coreProperties>
</file>